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253" w:rsidRPr="00377ADE" w:rsidRDefault="004E6253" w:rsidP="004E6253">
      <w:pPr>
        <w:shd w:val="clear" w:color="auto" w:fill="FFFFFF"/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  <w:r w:rsidRPr="00377ADE">
        <w:rPr>
          <w:rFonts w:ascii="Tahoma" w:hAnsi="Tahoma" w:cs="Tahoma"/>
          <w:b/>
          <w:sz w:val="20"/>
          <w:szCs w:val="20"/>
        </w:rPr>
        <w:t>THÔNG BÁO TUYỂN CỘNG TÁC VIÊN</w:t>
      </w:r>
    </w:p>
    <w:p w:rsidR="004E6253" w:rsidRPr="00377ADE" w:rsidRDefault="004E6253" w:rsidP="004E6253">
      <w:pPr>
        <w:shd w:val="clear" w:color="auto" w:fill="FFFFFF"/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:rsidR="004E6253" w:rsidRPr="00377ADE" w:rsidRDefault="00AB7A12" w:rsidP="004E6253">
      <w:pPr>
        <w:shd w:val="clear" w:color="auto" w:fill="FFFFFF"/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  <w:r w:rsidRPr="00377ADE">
        <w:rPr>
          <w:rFonts w:ascii="Tahoma" w:hAnsi="Tahoma" w:cs="Tahoma"/>
          <w:b/>
          <w:sz w:val="20"/>
          <w:szCs w:val="20"/>
        </w:rPr>
        <w:t xml:space="preserve">SƠ LƯỢC </w:t>
      </w:r>
      <w:r w:rsidR="004E6253" w:rsidRPr="00377ADE">
        <w:rPr>
          <w:rFonts w:ascii="Tahoma" w:hAnsi="Tahoma" w:cs="Tahoma"/>
          <w:b/>
          <w:sz w:val="20"/>
          <w:szCs w:val="20"/>
        </w:rPr>
        <w:t xml:space="preserve">VỀ </w:t>
      </w:r>
      <w:r w:rsidR="00E16F3F" w:rsidRPr="00377ADE">
        <w:rPr>
          <w:rFonts w:ascii="Tahoma" w:hAnsi="Tahoma" w:cs="Tahoma"/>
          <w:b/>
          <w:sz w:val="20"/>
          <w:szCs w:val="20"/>
        </w:rPr>
        <w:t>CTCP CHỨNG KHOÁN MARITIME BANK (MSBS)</w:t>
      </w:r>
    </w:p>
    <w:p w:rsidR="00377ADE" w:rsidRPr="00377ADE" w:rsidRDefault="00377ADE" w:rsidP="004E6253">
      <w:pPr>
        <w:shd w:val="clear" w:color="auto" w:fill="FFFFFF"/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</w:p>
    <w:p w:rsidR="00377ADE" w:rsidRPr="00377ADE" w:rsidRDefault="00377ADE" w:rsidP="00377ADE">
      <w:pPr>
        <w:spacing w:line="360" w:lineRule="auto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proofErr w:type="gram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Được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thành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lập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vào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năm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2008, MSBS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là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một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ty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chuyên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nghiệp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Việt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Nam,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có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kinh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đa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dạng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trong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lĩnh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vực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>.</w:t>
      </w:r>
      <w:proofErr w:type="gram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Tính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đến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thời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điểm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hiện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, MSBS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đã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đạt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được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mốc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32.000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và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nằm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trong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Top 15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ty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có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phần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lớn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nhất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cả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nước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377ADE" w:rsidRPr="00377ADE" w:rsidRDefault="00377ADE" w:rsidP="00377ADE">
      <w:pPr>
        <w:spacing w:line="360" w:lineRule="auto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MSBS,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chúng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tôi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mong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muốn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mang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đến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cho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bạn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những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trải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tế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về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trường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cũng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như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tích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lũy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kinh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trước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khi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bước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vào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một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môi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trường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thụ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các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doanh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proofErr w:type="gramStart"/>
      <w:r w:rsidRPr="00377ADE">
        <w:rPr>
          <w:rFonts w:ascii="Tahoma" w:eastAsia="Times New Roman" w:hAnsi="Tahoma" w:cs="Tahoma"/>
          <w:color w:val="333333"/>
          <w:sz w:val="20"/>
          <w:szCs w:val="20"/>
        </w:rPr>
        <w:t>nghiệp</w:t>
      </w:r>
      <w:proofErr w:type="spellEnd"/>
      <w:r w:rsidRPr="00377ADE">
        <w:rPr>
          <w:rFonts w:ascii="Tahoma" w:eastAsia="Times New Roman" w:hAnsi="Tahoma" w:cs="Tahoma"/>
          <w:color w:val="333333"/>
          <w:sz w:val="20"/>
          <w:szCs w:val="20"/>
        </w:rPr>
        <w:t xml:space="preserve"> :</w:t>
      </w:r>
      <w:proofErr w:type="gramEnd"/>
    </w:p>
    <w:p w:rsidR="0050239A" w:rsidRPr="00377ADE" w:rsidRDefault="0050239A" w:rsidP="00377ADE">
      <w:pPr>
        <w:rPr>
          <w:rFonts w:ascii="Tahoma" w:hAnsi="Tahoma" w:cs="Tahoma"/>
          <w:sz w:val="20"/>
          <w:szCs w:val="20"/>
        </w:rPr>
      </w:pPr>
      <w:r w:rsidRPr="00377ADE">
        <w:rPr>
          <w:rFonts w:ascii="Tahoma" w:hAnsi="Tahoma" w:cs="Tahoma"/>
          <w:b/>
          <w:sz w:val="20"/>
          <w:szCs w:val="20"/>
        </w:rPr>
        <w:t>MÔ TẢ CÔNG VIỆC</w:t>
      </w:r>
    </w:p>
    <w:p w:rsidR="004E6253" w:rsidRPr="00377ADE" w:rsidRDefault="00136203" w:rsidP="0050239A">
      <w:pPr>
        <w:rPr>
          <w:rFonts w:ascii="Tahoma" w:hAnsi="Tahoma" w:cs="Tahoma"/>
          <w:sz w:val="20"/>
          <w:szCs w:val="20"/>
        </w:rPr>
      </w:pPr>
      <w:proofErr w:type="gramStart"/>
      <w:r w:rsidRPr="00377ADE">
        <w:rPr>
          <w:rFonts w:ascii="Tahoma" w:hAnsi="Tahoma" w:cs="Tahoma"/>
          <w:sz w:val="20"/>
          <w:szCs w:val="20"/>
        </w:rPr>
        <w:t>Tìm kiếm phát triển khách hàng mở mới tài khoản giao dịch chứng khoán tại MSBS.</w:t>
      </w:r>
      <w:proofErr w:type="gramEnd"/>
    </w:p>
    <w:p w:rsidR="000A2B1A" w:rsidRPr="00377ADE" w:rsidRDefault="000A2B1A" w:rsidP="0050239A">
      <w:pPr>
        <w:rPr>
          <w:rFonts w:ascii="Tahoma" w:hAnsi="Tahoma" w:cs="Tahoma"/>
          <w:b/>
          <w:sz w:val="20"/>
          <w:szCs w:val="20"/>
        </w:rPr>
      </w:pPr>
      <w:r w:rsidRPr="00377ADE">
        <w:rPr>
          <w:rFonts w:ascii="Tahoma" w:hAnsi="Tahoma" w:cs="Tahoma"/>
          <w:b/>
          <w:sz w:val="20"/>
          <w:szCs w:val="20"/>
        </w:rPr>
        <w:t>THU NHẬP VÀ QUYỀN LỢI ĐƯỢC HƯỞNG</w:t>
      </w:r>
    </w:p>
    <w:p w:rsidR="000A2B1A" w:rsidRPr="00377ADE" w:rsidRDefault="000A2B1A" w:rsidP="000A2B1A">
      <w:pPr>
        <w:pStyle w:val="ListParagraph"/>
        <w:numPr>
          <w:ilvl w:val="0"/>
          <w:numId w:val="1"/>
        </w:numPr>
        <w:spacing w:before="120" w:after="120" w:line="360" w:lineRule="auto"/>
        <w:ind w:left="990"/>
        <w:jc w:val="both"/>
        <w:rPr>
          <w:rFonts w:ascii="Tahoma" w:hAnsi="Tahoma" w:cs="Tahoma"/>
          <w:sz w:val="20"/>
          <w:szCs w:val="20"/>
        </w:rPr>
      </w:pPr>
      <w:r w:rsidRPr="00377ADE">
        <w:rPr>
          <w:rFonts w:ascii="Tahoma" w:hAnsi="Tahoma" w:cs="Tahoma"/>
          <w:b/>
          <w:color w:val="FF0000"/>
          <w:sz w:val="20"/>
          <w:szCs w:val="20"/>
        </w:rPr>
        <w:t>Không bị áp doanh số</w:t>
      </w:r>
      <w:r w:rsidRPr="00377ADE">
        <w:rPr>
          <w:rFonts w:ascii="Tahoma" w:hAnsi="Tahoma" w:cs="Tahoma"/>
          <w:sz w:val="20"/>
          <w:szCs w:val="20"/>
        </w:rPr>
        <w:t>,  thu nhập hưởng theo số lượng tài khoản giao dịch chứng khoán</w:t>
      </w:r>
      <w:r w:rsidR="00CE0DD7" w:rsidRPr="00377ADE">
        <w:rPr>
          <w:rFonts w:ascii="Tahoma" w:hAnsi="Tahoma" w:cs="Tahoma"/>
          <w:sz w:val="20"/>
          <w:szCs w:val="20"/>
        </w:rPr>
        <w:t xml:space="preserve"> mở mới thành công (MSBS hỗ trợ hồ sơ và in chứng minh thư khách hàng)</w:t>
      </w:r>
    </w:p>
    <w:p w:rsidR="006828BB" w:rsidRPr="00377ADE" w:rsidRDefault="006828BB" w:rsidP="000A2B1A">
      <w:pPr>
        <w:pStyle w:val="ListParagraph"/>
        <w:numPr>
          <w:ilvl w:val="0"/>
          <w:numId w:val="1"/>
        </w:numPr>
        <w:spacing w:before="120" w:after="120" w:line="360" w:lineRule="auto"/>
        <w:ind w:left="990"/>
        <w:jc w:val="both"/>
        <w:rPr>
          <w:rFonts w:ascii="Tahoma" w:hAnsi="Tahoma" w:cs="Tahoma"/>
          <w:sz w:val="20"/>
          <w:szCs w:val="20"/>
        </w:rPr>
      </w:pPr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Thu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nhập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hấp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dẫn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>:</w:t>
      </w:r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Cơ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chế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tính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thu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nhập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dựa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trên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số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lượng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tài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khoản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mở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mới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thành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công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và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giá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trị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giao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dịch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phát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sinh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từ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các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tài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khoản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cộng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tác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viên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phát</w:t>
      </w:r>
      <w:proofErr w:type="spellEnd"/>
      <w:r w:rsidR="00E16F3F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sz w:val="20"/>
          <w:szCs w:val="20"/>
        </w:rPr>
        <w:t>triển</w:t>
      </w:r>
      <w:proofErr w:type="spellEnd"/>
    </w:p>
    <w:p w:rsidR="00377ADE" w:rsidRPr="00377ADE" w:rsidRDefault="00377ADE" w:rsidP="000A2B1A">
      <w:pPr>
        <w:pStyle w:val="ListParagraph"/>
        <w:numPr>
          <w:ilvl w:val="0"/>
          <w:numId w:val="1"/>
        </w:numPr>
        <w:spacing w:before="120" w:after="120" w:line="360" w:lineRule="auto"/>
        <w:ind w:left="990"/>
        <w:jc w:val="both"/>
        <w:rPr>
          <w:rFonts w:ascii="Tahoma" w:hAnsi="Tahoma" w:cs="Tahoma"/>
          <w:sz w:val="20"/>
          <w:szCs w:val="20"/>
        </w:rPr>
      </w:pP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Cơ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hội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trở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thành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nhân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viên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chính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thức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của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MSBS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thông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qua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chương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trình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MSBS Got Talent</w:t>
      </w:r>
    </w:p>
    <w:p w:rsidR="00377ADE" w:rsidRPr="00377ADE" w:rsidRDefault="000A2B1A" w:rsidP="00377ADE">
      <w:pPr>
        <w:pStyle w:val="ListParagraph"/>
        <w:numPr>
          <w:ilvl w:val="0"/>
          <w:numId w:val="1"/>
        </w:numPr>
        <w:spacing w:before="120" w:after="120" w:line="360" w:lineRule="auto"/>
        <w:ind w:left="990"/>
        <w:jc w:val="both"/>
        <w:rPr>
          <w:rFonts w:ascii="Tahoma" w:hAnsi="Tahoma" w:cs="Tahoma"/>
          <w:sz w:val="20"/>
          <w:szCs w:val="20"/>
        </w:rPr>
      </w:pP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Các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quyền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lợi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khác</w:t>
      </w:r>
      <w:proofErr w:type="spellEnd"/>
      <w:r w:rsidR="00FD1B1B" w:rsidRPr="00377ADE">
        <w:rPr>
          <w:rFonts w:ascii="Tahoma" w:hAnsi="Tahoma" w:cs="Tahoma"/>
          <w:sz w:val="20"/>
          <w:szCs w:val="20"/>
        </w:rPr>
        <w:t xml:space="preserve">: </w:t>
      </w:r>
      <w:r w:rsidR="00377ADE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1B1B" w:rsidRPr="00377ADE">
        <w:rPr>
          <w:rFonts w:ascii="Tahoma" w:hAnsi="Tahoma" w:cs="Tahoma"/>
          <w:sz w:val="20"/>
          <w:szCs w:val="20"/>
        </w:rPr>
        <w:t>Cơ</w:t>
      </w:r>
      <w:proofErr w:type="spellEnd"/>
      <w:r w:rsidR="00FD1B1B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1B1B" w:rsidRPr="00377ADE">
        <w:rPr>
          <w:rFonts w:ascii="Tahoma" w:hAnsi="Tahoma" w:cs="Tahoma"/>
          <w:sz w:val="20"/>
          <w:szCs w:val="20"/>
        </w:rPr>
        <w:t>hội</w:t>
      </w:r>
      <w:proofErr w:type="spellEnd"/>
      <w:r w:rsidR="00FD1B1B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1B1B" w:rsidRPr="00377ADE">
        <w:rPr>
          <w:rFonts w:ascii="Tahoma" w:hAnsi="Tahoma" w:cs="Tahoma"/>
          <w:sz w:val="20"/>
          <w:szCs w:val="20"/>
        </w:rPr>
        <w:t>tham</w:t>
      </w:r>
      <w:proofErr w:type="spellEnd"/>
      <w:r w:rsidR="00FD1B1B"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D1B1B" w:rsidRPr="00377ADE">
        <w:rPr>
          <w:rFonts w:ascii="Tahoma" w:hAnsi="Tahoma" w:cs="Tahoma"/>
          <w:sz w:val="20"/>
          <w:szCs w:val="20"/>
        </w:rPr>
        <w:t>gia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hội thảo, chương trình đào </w:t>
      </w:r>
      <w:proofErr w:type="spellStart"/>
      <w:r w:rsidRPr="00377ADE">
        <w:rPr>
          <w:rFonts w:ascii="Tahoma" w:hAnsi="Tahoma" w:cs="Tahoma"/>
          <w:sz w:val="20"/>
          <w:szCs w:val="20"/>
        </w:rPr>
        <w:t>tạo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của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MSBS, </w:t>
      </w:r>
      <w:proofErr w:type="spellStart"/>
      <w:r w:rsidRPr="00377ADE">
        <w:rPr>
          <w:rFonts w:ascii="Tahoma" w:hAnsi="Tahoma" w:cs="Tahoma"/>
          <w:sz w:val="20"/>
          <w:szCs w:val="20"/>
        </w:rPr>
        <w:t>Cơ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hội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thực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tập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377ADE">
        <w:rPr>
          <w:rFonts w:ascii="Tahoma" w:hAnsi="Tahoma" w:cs="Tahoma"/>
          <w:sz w:val="20"/>
          <w:szCs w:val="20"/>
        </w:rPr>
        <w:t>trải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nghiệm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môi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trường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làm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việc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sz w:val="20"/>
          <w:szCs w:val="20"/>
        </w:rPr>
        <w:t>thực</w:t>
      </w:r>
      <w:proofErr w:type="spellEnd"/>
      <w:r w:rsidRPr="00377ADE">
        <w:rPr>
          <w:rFonts w:ascii="Tahoma" w:hAnsi="Tahoma" w:cs="Tahoma"/>
          <w:sz w:val="20"/>
          <w:szCs w:val="20"/>
        </w:rPr>
        <w:t xml:space="preserve">  </w:t>
      </w:r>
      <w:proofErr w:type="spellStart"/>
      <w:r w:rsidRPr="00377ADE">
        <w:rPr>
          <w:rFonts w:ascii="Tahoma" w:hAnsi="Tahoma" w:cs="Tahoma"/>
          <w:sz w:val="20"/>
          <w:szCs w:val="20"/>
        </w:rPr>
        <w:t>tế</w:t>
      </w:r>
      <w:proofErr w:type="spellEnd"/>
    </w:p>
    <w:p w:rsidR="0046621D" w:rsidRPr="00377ADE" w:rsidRDefault="0046621D" w:rsidP="000A2B1A">
      <w:pPr>
        <w:pStyle w:val="ListParagraph"/>
        <w:numPr>
          <w:ilvl w:val="0"/>
          <w:numId w:val="1"/>
        </w:numPr>
        <w:spacing w:before="120" w:after="120" w:line="360" w:lineRule="auto"/>
        <w:ind w:left="990"/>
        <w:jc w:val="both"/>
        <w:rPr>
          <w:rFonts w:ascii="Tahoma" w:hAnsi="Tahoma" w:cs="Tahoma"/>
          <w:sz w:val="20"/>
          <w:szCs w:val="20"/>
        </w:rPr>
      </w:pP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Chuyển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thu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nhập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trực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tiếp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vào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tài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khoản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ngân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hàng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Maritime Bank</w:t>
      </w:r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của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cộng</w:t>
      </w:r>
      <w:proofErr w:type="spellEnd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tác</w:t>
      </w:r>
      <w:proofErr w:type="spellEnd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viên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hoặc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Tài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khoản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chứng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khoán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của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cộng</w:t>
      </w:r>
      <w:proofErr w:type="spellEnd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tác</w:t>
      </w:r>
      <w:proofErr w:type="spellEnd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="00E16F3F" w:rsidRPr="00377ADE">
        <w:rPr>
          <w:rFonts w:ascii="Tahoma" w:hAnsi="Tahoma" w:cs="Tahoma"/>
          <w:b/>
          <w:color w:val="FF0000"/>
          <w:sz w:val="20"/>
          <w:szCs w:val="20"/>
        </w:rPr>
        <w:t>viên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tại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MSBS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trước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05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ngày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làm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việc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</w:t>
      </w:r>
      <w:proofErr w:type="spellStart"/>
      <w:r w:rsidRPr="00377ADE">
        <w:rPr>
          <w:rFonts w:ascii="Tahoma" w:hAnsi="Tahoma" w:cs="Tahoma"/>
          <w:b/>
          <w:color w:val="FF0000"/>
          <w:sz w:val="20"/>
          <w:szCs w:val="20"/>
        </w:rPr>
        <w:t>của</w:t>
      </w:r>
      <w:proofErr w:type="spellEnd"/>
      <w:r w:rsidRPr="00377ADE">
        <w:rPr>
          <w:rFonts w:ascii="Tahoma" w:hAnsi="Tahoma" w:cs="Tahoma"/>
          <w:b/>
          <w:color w:val="FF0000"/>
          <w:sz w:val="20"/>
          <w:szCs w:val="20"/>
        </w:rPr>
        <w:t xml:space="preserve"> tháng tiếp theo</w:t>
      </w:r>
      <w:r w:rsidRPr="00377ADE">
        <w:rPr>
          <w:rFonts w:ascii="Tahoma" w:hAnsi="Tahoma" w:cs="Tahoma"/>
          <w:sz w:val="20"/>
          <w:szCs w:val="20"/>
        </w:rPr>
        <w:t>.</w:t>
      </w:r>
    </w:p>
    <w:p w:rsidR="0050239A" w:rsidRPr="00377ADE" w:rsidRDefault="0050239A" w:rsidP="0050239A">
      <w:pPr>
        <w:rPr>
          <w:rFonts w:ascii="Tahoma" w:hAnsi="Tahoma" w:cs="Tahoma"/>
          <w:b/>
          <w:sz w:val="20"/>
          <w:szCs w:val="20"/>
        </w:rPr>
      </w:pPr>
      <w:r w:rsidRPr="00377ADE">
        <w:rPr>
          <w:rFonts w:ascii="Tahoma" w:hAnsi="Tahoma" w:cs="Tahoma"/>
          <w:b/>
          <w:sz w:val="20"/>
          <w:szCs w:val="20"/>
        </w:rPr>
        <w:t>THÔNG TIN LIÊN HỆ</w:t>
      </w:r>
    </w:p>
    <w:tbl>
      <w:tblPr>
        <w:tblStyle w:val="TableGrid"/>
        <w:tblW w:w="950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2"/>
        <w:gridCol w:w="4667"/>
      </w:tblGrid>
      <w:tr w:rsidR="00465D34" w:rsidRPr="00A27716" w:rsidTr="00757E85">
        <w:trPr>
          <w:trHeight w:val="772"/>
        </w:trPr>
        <w:tc>
          <w:tcPr>
            <w:tcW w:w="4842" w:type="dxa"/>
          </w:tcPr>
          <w:p w:rsidR="00465D34" w:rsidRPr="00757E85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</w:pPr>
            <w:proofErr w:type="spellStart"/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Miền</w:t>
            </w:r>
            <w:proofErr w:type="spellEnd"/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Bắc</w:t>
            </w:r>
            <w:proofErr w:type="spellEnd"/>
          </w:p>
          <w:p w:rsidR="00757E85" w:rsidRPr="00757E85" w:rsidRDefault="00757E85" w:rsidP="00757E85">
            <w:pPr>
              <w:shd w:val="clear" w:color="auto" w:fill="FFFFFF"/>
              <w:spacing w:line="24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77A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Hot line:</w:t>
            </w:r>
            <w:r w:rsidRPr="00377AD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 (844) 3776 5929 (3210)</w:t>
            </w:r>
          </w:p>
          <w:p w:rsidR="00465D34" w:rsidRDefault="00465D34" w:rsidP="00757E8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Ms. </w:t>
            </w:r>
            <w:proofErr w:type="spellStart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Trịnh</w:t>
            </w:r>
            <w:proofErr w:type="spellEnd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Thị</w:t>
            </w:r>
            <w:proofErr w:type="spellEnd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 Ngọc </w:t>
            </w:r>
            <w:proofErr w:type="spellStart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Hà</w:t>
            </w:r>
            <w:proofErr w:type="spellEnd"/>
          </w:p>
          <w:p w:rsidR="00465D34" w:rsidRPr="00446CA9" w:rsidRDefault="00465D34" w:rsidP="00757E8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446C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Mobile:</w:t>
            </w:r>
            <w:r w:rsidRPr="00446CA9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0979 107 543</w:t>
            </w:r>
          </w:p>
          <w:p w:rsidR="00465D34" w:rsidRPr="00446CA9" w:rsidRDefault="00465D34" w:rsidP="00757E8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ahoma" w:hAnsi="Tahoma" w:cs="Tahoma"/>
                <w:sz w:val="20"/>
                <w:szCs w:val="20"/>
              </w:rPr>
            </w:pPr>
            <w:r w:rsidRPr="00446C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Email: </w:t>
            </w:r>
            <w:hyperlink r:id="rId6" w:history="1">
              <w:r w:rsidRPr="00446CA9">
                <w:rPr>
                  <w:rStyle w:val="Hyperlink"/>
                  <w:rFonts w:ascii="Tahoma" w:eastAsia="Times New Roman" w:hAnsi="Tahoma" w:cs="Tahoma"/>
                  <w:sz w:val="20"/>
                  <w:szCs w:val="20"/>
                </w:rPr>
                <w:t>hattn@msbs.com.vn</w:t>
              </w:r>
            </w:hyperlink>
          </w:p>
          <w:p w:rsidR="00465D34" w:rsidRPr="00377ADE" w:rsidRDefault="00465D34" w:rsidP="00757E8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377A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Ms.</w:t>
            </w:r>
            <w:r w:rsidRPr="00377ADE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 xml:space="preserve"> </w:t>
            </w:r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Hoàng </w:t>
            </w:r>
            <w:proofErr w:type="spellStart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Thị</w:t>
            </w:r>
            <w:proofErr w:type="spellEnd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 Thanh </w:t>
            </w:r>
            <w:proofErr w:type="spellStart"/>
            <w:r w:rsidRPr="00377ADE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Tuyền</w:t>
            </w:r>
            <w:proofErr w:type="spellEnd"/>
          </w:p>
          <w:p w:rsidR="00465D34" w:rsidRPr="00446CA9" w:rsidRDefault="00465D34" w:rsidP="00757E85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</w:pPr>
            <w:r w:rsidRPr="00446C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fr-FR"/>
              </w:rPr>
              <w:t>Mobile:</w:t>
            </w:r>
            <w:r w:rsidRPr="00446CA9"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  <w:t xml:space="preserve"> </w:t>
            </w:r>
            <w:r w:rsidRPr="00446CA9">
              <w:rPr>
                <w:rFonts w:ascii="Tahoma" w:hAnsi="Tahoma" w:cs="Tahoma"/>
                <w:sz w:val="20"/>
                <w:szCs w:val="20"/>
                <w:lang w:val="fr-FR"/>
              </w:rPr>
              <w:t>01228 39 33 69</w:t>
            </w:r>
          </w:p>
          <w:p w:rsidR="00465D34" w:rsidRPr="00446CA9" w:rsidRDefault="00757E85" w:rsidP="00757E8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</w:pPr>
            <w:r w:rsidRPr="00446C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fr-FR"/>
              </w:rPr>
              <w:t xml:space="preserve">       </w:t>
            </w:r>
            <w:r w:rsidR="00465D34" w:rsidRPr="00446CA9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val="fr-FR"/>
              </w:rPr>
              <w:t>Email: </w:t>
            </w:r>
            <w:hyperlink r:id="rId7" w:history="1">
              <w:r w:rsidR="00465D34" w:rsidRPr="00446CA9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val="fr-FR"/>
                </w:rPr>
                <w:t>tuyenhtt@msbs.com.vn</w:t>
              </w:r>
            </w:hyperlink>
          </w:p>
        </w:tc>
        <w:tc>
          <w:tcPr>
            <w:tcW w:w="4667" w:type="dxa"/>
          </w:tcPr>
          <w:p w:rsidR="00465D34" w:rsidRPr="00757E85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</w:pPr>
            <w:proofErr w:type="spellStart"/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Miền</w:t>
            </w:r>
            <w:proofErr w:type="spellEnd"/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 xml:space="preserve"> Nam</w:t>
            </w:r>
          </w:p>
          <w:p w:rsidR="00757E85" w:rsidRPr="00757E85" w:rsidRDefault="00757E85" w:rsidP="00757E85">
            <w:pPr>
              <w:shd w:val="clear" w:color="auto" w:fill="FFFFFF"/>
              <w:spacing w:line="240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77AD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Hot line: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 (844) 3776 5929 (</w:t>
            </w:r>
            <w:r w:rsidRPr="00465D34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3581</w:t>
            </w:r>
            <w:r w:rsidRPr="00377AD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)</w:t>
            </w:r>
          </w:p>
          <w:p w:rsidR="00465D34" w:rsidRPr="00A27716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</w:pPr>
            <w:r w:rsidRPr="00A27716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</w:rPr>
              <w:t>Ms.  Nguyễn Ngọc Quỳnh Trân</w:t>
            </w:r>
          </w:p>
          <w:p w:rsidR="00465D34" w:rsidRPr="00757E85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</w:pPr>
            <w:r w:rsidRPr="00757E85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  <w:lang w:val="fr-FR"/>
              </w:rPr>
              <w:t>Mobile:</w:t>
            </w:r>
            <w:r w:rsidRPr="00757E85"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  <w:t xml:space="preserve"> 0935049466</w:t>
            </w:r>
          </w:p>
          <w:p w:rsidR="00465D34" w:rsidRPr="00A27716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</w:pPr>
            <w:r w:rsidRPr="00A27716">
              <w:rPr>
                <w:rFonts w:ascii="Tahoma" w:eastAsia="Times New Roman" w:hAnsi="Tahoma" w:cs="Tahoma"/>
                <w:b/>
                <w:color w:val="333333"/>
                <w:sz w:val="20"/>
                <w:szCs w:val="20"/>
                <w:lang w:val="fr-FR"/>
              </w:rPr>
              <w:t>Email:</w:t>
            </w:r>
            <w:r w:rsidRPr="00A27716"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  <w:t xml:space="preserve"> </w:t>
            </w:r>
            <w:hyperlink r:id="rId8" w:history="1">
              <w:r w:rsidR="00757E85" w:rsidRPr="00A27716">
                <w:rPr>
                  <w:rStyle w:val="Hyperlink"/>
                  <w:rFonts w:ascii="Tahoma" w:eastAsia="Times New Roman" w:hAnsi="Tahoma" w:cs="Tahoma"/>
                  <w:sz w:val="20"/>
                  <w:szCs w:val="20"/>
                  <w:lang w:val="fr-FR"/>
                </w:rPr>
                <w:t>trannnq@msbs.com.vn</w:t>
              </w:r>
            </w:hyperlink>
          </w:p>
          <w:p w:rsidR="00465D34" w:rsidRPr="00A27716" w:rsidRDefault="00465D34" w:rsidP="00757E85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</w:pPr>
            <w:r w:rsidRPr="00A27716">
              <w:rPr>
                <w:rFonts w:ascii="Tahoma" w:eastAsia="Times New Roman" w:hAnsi="Tahoma" w:cs="Tahoma"/>
                <w:color w:val="333333"/>
                <w:sz w:val="20"/>
                <w:szCs w:val="20"/>
                <w:lang w:val="fr-FR"/>
              </w:rPr>
              <w:t xml:space="preserve"> </w:t>
            </w:r>
          </w:p>
        </w:tc>
      </w:tr>
    </w:tbl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lastRenderedPageBreak/>
        <w:t>CTCP CHỨNG KHOÁN MARITIME BANK (MSBS) TUYỂN CỘNG TÁC VIÊN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Được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thành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năm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2008, MSBS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là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một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ty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chuyên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Việt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Nam,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có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kinh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dạng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trong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lĩnh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>.</w:t>
      </w:r>
      <w:proofErr w:type="gram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Tính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đến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thời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điểm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hiện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, MSBS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đã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đạt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được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mốc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32.000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nằm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trong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Top 15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ty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có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phần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lớn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nhất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cả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nước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>.</w:t>
      </w:r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proofErr w:type="gram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Năm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2014,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được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HSX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vinh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danh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là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ty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có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số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lượng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tăng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trưởng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tốt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="00446CA9">
        <w:rPr>
          <w:rFonts w:ascii="Tahoma" w:eastAsia="Times New Roman" w:hAnsi="Tahoma" w:cs="Tahoma"/>
          <w:color w:val="333333"/>
          <w:sz w:val="20"/>
          <w:szCs w:val="20"/>
        </w:rPr>
        <w:t>nhất</w:t>
      </w:r>
      <w:proofErr w:type="spellEnd"/>
      <w:r w:rsidR="00446CA9">
        <w:rPr>
          <w:rFonts w:ascii="Tahoma" w:eastAsia="Times New Roman" w:hAnsi="Tahoma" w:cs="Tahoma"/>
          <w:color w:val="333333"/>
          <w:sz w:val="20"/>
          <w:szCs w:val="20"/>
        </w:rPr>
        <w:t>.</w:t>
      </w:r>
      <w:proofErr w:type="gram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chúng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tôi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mong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muốn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mang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đến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bạn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những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trải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tế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về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trường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như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tích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lũy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kinh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trước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bước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một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môi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trường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thụ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doanh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:</w:t>
      </w:r>
      <w:proofErr w:type="gram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MÔ TẢ CÔNG VIỆC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Tìm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kiếm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phát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triển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khách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hàng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mở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mới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giao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dịch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MSBS.</w:t>
      </w:r>
      <w:proofErr w:type="gram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THU NHẬP VÀ QUYỀN LỢI ĐƯỢC HƯỞNG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•</w:t>
      </w:r>
      <w:r w:rsidRPr="00A27716">
        <w:rPr>
          <w:rFonts w:ascii="Tahoma" w:eastAsia="Times New Roman" w:hAnsi="Tahoma" w:cs="Tahoma"/>
          <w:color w:val="333333"/>
          <w:sz w:val="20"/>
          <w:szCs w:val="20"/>
        </w:rPr>
        <w:tab/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bị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áp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doanh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số</w:t>
      </w:r>
      <w:proofErr w:type="spellEnd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, 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thu</w:t>
      </w:r>
      <w:proofErr w:type="spellEnd"/>
      <w:proofErr w:type="gram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hưởng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theo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số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lượng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giao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dịch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mở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mới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thành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(MSBS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hỗ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trợ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hồ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sơ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in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minh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thư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khách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hàng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>)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•</w:t>
      </w:r>
      <w:r w:rsidRPr="00A27716">
        <w:rPr>
          <w:rFonts w:ascii="Tahoma" w:eastAsia="Times New Roman" w:hAnsi="Tahoma" w:cs="Tahoma"/>
          <w:color w:val="333333"/>
          <w:sz w:val="20"/>
          <w:szCs w:val="20"/>
        </w:rPr>
        <w:tab/>
        <w:t xml:space="preserve">Thu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hấp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dẫn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: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chế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tính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thu</w:t>
      </w:r>
      <w:proofErr w:type="spellEnd"/>
      <w:proofErr w:type="gram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dựa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số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lượng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mở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mới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thành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giá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giao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dịch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phát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sinh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từ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do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cộng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phát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triển</w:t>
      </w:r>
      <w:proofErr w:type="spell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•</w:t>
      </w:r>
      <w:r w:rsidRPr="00A27716">
        <w:rPr>
          <w:rFonts w:ascii="Tahoma" w:eastAsia="Times New Roman" w:hAnsi="Tahoma" w:cs="Tahoma"/>
          <w:color w:val="333333"/>
          <w:sz w:val="20"/>
          <w:szCs w:val="20"/>
        </w:rPr>
        <w:tab/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trở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thành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nhân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chính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thức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của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thông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qua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chương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trình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 Got Talent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•</w:t>
      </w:r>
      <w:r w:rsidRPr="00A27716">
        <w:rPr>
          <w:rFonts w:ascii="Tahoma" w:eastAsia="Times New Roman" w:hAnsi="Tahoma" w:cs="Tahoma"/>
          <w:color w:val="333333"/>
          <w:sz w:val="20"/>
          <w:szCs w:val="20"/>
        </w:rPr>
        <w:tab/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quyền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lợi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: 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tham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gia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thảo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chương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trình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đào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của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Cơ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hội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,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trải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nghiệm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môi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trường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tế</w:t>
      </w:r>
      <w:proofErr w:type="spellEnd"/>
      <w:proofErr w:type="gram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•</w:t>
      </w:r>
      <w:r w:rsidRPr="00A27716">
        <w:rPr>
          <w:rFonts w:ascii="Tahoma" w:eastAsia="Times New Roman" w:hAnsi="Tahoma" w:cs="Tahoma"/>
          <w:color w:val="333333"/>
          <w:sz w:val="20"/>
          <w:szCs w:val="20"/>
        </w:rPr>
        <w:tab/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Chuyển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thu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nhập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trực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tiếp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vào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tài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ngân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hàng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Maritime Bank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của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cộng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hoặc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Tài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khoản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chứng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khoán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của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cộng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tác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viên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tại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MSBS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trước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05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ngày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làm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việc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của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tháng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tiếp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theo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>.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THÔNG TIN LIÊN HỆ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Miền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Bắc</w:t>
      </w:r>
      <w:proofErr w:type="spellEnd"/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Hot line:  (844) 3776 5929 (3210)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Ms.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Trịnh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Ngọc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Hà</w:t>
      </w:r>
      <w:proofErr w:type="spellEnd"/>
    </w:p>
    <w:p w:rsidR="00A27716" w:rsidRPr="00446CA9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val="fr-FR"/>
        </w:rPr>
      </w:pPr>
      <w:r w:rsidRPr="00446CA9">
        <w:rPr>
          <w:rFonts w:ascii="Tahoma" w:eastAsia="Times New Roman" w:hAnsi="Tahoma" w:cs="Tahoma"/>
          <w:color w:val="333333"/>
          <w:sz w:val="20"/>
          <w:szCs w:val="20"/>
          <w:lang w:val="fr-FR"/>
        </w:rPr>
        <w:t>Mobile: 0979 107 543</w:t>
      </w:r>
    </w:p>
    <w:p w:rsidR="00A27716" w:rsidRPr="00446CA9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val="fr-FR"/>
        </w:rPr>
      </w:pPr>
      <w:r w:rsidRPr="00446CA9">
        <w:rPr>
          <w:rFonts w:ascii="Tahoma" w:eastAsia="Times New Roman" w:hAnsi="Tahoma" w:cs="Tahoma"/>
          <w:color w:val="333333"/>
          <w:sz w:val="20"/>
          <w:szCs w:val="20"/>
          <w:lang w:val="fr-FR"/>
        </w:rPr>
        <w:t>Email: hattn@msbs.com.vn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Ms. Hoàng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Thị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Thanh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Tuyền</w:t>
      </w:r>
      <w:proofErr w:type="spellEnd"/>
    </w:p>
    <w:p w:rsidR="00A27716" w:rsidRPr="00446CA9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446CA9">
        <w:rPr>
          <w:rFonts w:ascii="Tahoma" w:eastAsia="Times New Roman" w:hAnsi="Tahoma" w:cs="Tahoma"/>
          <w:color w:val="333333"/>
          <w:sz w:val="20"/>
          <w:szCs w:val="20"/>
        </w:rPr>
        <w:t>Mobile: 01228 39 33 69</w:t>
      </w:r>
    </w:p>
    <w:p w:rsidR="00A27716" w:rsidRPr="00446CA9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446CA9">
        <w:rPr>
          <w:rFonts w:ascii="Tahoma" w:eastAsia="Times New Roman" w:hAnsi="Tahoma" w:cs="Tahoma"/>
          <w:color w:val="333333"/>
          <w:sz w:val="20"/>
          <w:szCs w:val="20"/>
        </w:rPr>
        <w:t xml:space="preserve">       Email: tuyenhtt@msbs.com.vn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Miền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Nam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</w:rPr>
        <w:t>Hot line:  (844) 3776 5929 (3581)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proofErr w:type="gram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lastRenderedPageBreak/>
        <w:t>Ms.</w:t>
      </w:r>
      <w:proofErr w:type="gram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 Nguyễn Ngọc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Quỳnh</w:t>
      </w:r>
      <w:proofErr w:type="spellEnd"/>
      <w:r w:rsidRPr="00A27716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proofErr w:type="spellStart"/>
      <w:r w:rsidRPr="00A27716">
        <w:rPr>
          <w:rFonts w:ascii="Tahoma" w:eastAsia="Times New Roman" w:hAnsi="Tahoma" w:cs="Tahoma"/>
          <w:color w:val="333333"/>
          <w:sz w:val="20"/>
          <w:szCs w:val="20"/>
        </w:rPr>
        <w:t>Trân</w:t>
      </w:r>
      <w:proofErr w:type="spellEnd"/>
    </w:p>
    <w:p w:rsidR="00A27716" w:rsidRPr="00446CA9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</w:rPr>
      </w:pPr>
      <w:r w:rsidRPr="00446CA9">
        <w:rPr>
          <w:rFonts w:ascii="Tahoma" w:eastAsia="Times New Roman" w:hAnsi="Tahoma" w:cs="Tahoma"/>
          <w:color w:val="333333"/>
          <w:sz w:val="20"/>
          <w:szCs w:val="20"/>
        </w:rPr>
        <w:t>Mobile: 0935049466</w:t>
      </w:r>
    </w:p>
    <w:p w:rsidR="00A27716" w:rsidRPr="00A27716" w:rsidRDefault="00A27716" w:rsidP="00A277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val="fr-FR"/>
        </w:rPr>
      </w:pPr>
      <w:r w:rsidRPr="00A27716">
        <w:rPr>
          <w:rFonts w:ascii="Tahoma" w:eastAsia="Times New Roman" w:hAnsi="Tahoma" w:cs="Tahoma"/>
          <w:color w:val="333333"/>
          <w:sz w:val="20"/>
          <w:szCs w:val="20"/>
          <w:lang w:val="fr-FR"/>
        </w:rPr>
        <w:t>Email: trannnq@msbs.com.vn</w:t>
      </w:r>
    </w:p>
    <w:p w:rsidR="000A2B1A" w:rsidRPr="00A27716" w:rsidRDefault="000A2B1A" w:rsidP="00465D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333333"/>
          <w:sz w:val="20"/>
          <w:szCs w:val="20"/>
          <w:lang w:val="fr-FR"/>
        </w:rPr>
      </w:pPr>
    </w:p>
    <w:sectPr w:rsidR="000A2B1A" w:rsidRPr="00A27716" w:rsidSect="00757E85">
      <w:pgSz w:w="12240" w:h="15840"/>
      <w:pgMar w:top="993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6765D"/>
    <w:multiLevelType w:val="hybridMultilevel"/>
    <w:tmpl w:val="1688D52C"/>
    <w:lvl w:ilvl="0" w:tplc="9B160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A93FEC"/>
    <w:multiLevelType w:val="multilevel"/>
    <w:tmpl w:val="1CAC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39A"/>
    <w:rsid w:val="00022DF9"/>
    <w:rsid w:val="00076E28"/>
    <w:rsid w:val="000A2B1A"/>
    <w:rsid w:val="00136203"/>
    <w:rsid w:val="001445CE"/>
    <w:rsid w:val="00185D4C"/>
    <w:rsid w:val="002537B0"/>
    <w:rsid w:val="002F2DE6"/>
    <w:rsid w:val="0033223F"/>
    <w:rsid w:val="00343F96"/>
    <w:rsid w:val="00377ADE"/>
    <w:rsid w:val="00392A87"/>
    <w:rsid w:val="00394EB3"/>
    <w:rsid w:val="00445B4C"/>
    <w:rsid w:val="00446CA9"/>
    <w:rsid w:val="00465D34"/>
    <w:rsid w:val="0046621D"/>
    <w:rsid w:val="004E6253"/>
    <w:rsid w:val="0050239A"/>
    <w:rsid w:val="006828BB"/>
    <w:rsid w:val="0074015B"/>
    <w:rsid w:val="00757E85"/>
    <w:rsid w:val="007B7B73"/>
    <w:rsid w:val="00811700"/>
    <w:rsid w:val="00A27716"/>
    <w:rsid w:val="00A71190"/>
    <w:rsid w:val="00AB7A12"/>
    <w:rsid w:val="00B01B77"/>
    <w:rsid w:val="00B44CB2"/>
    <w:rsid w:val="00CE0DD7"/>
    <w:rsid w:val="00CE1FC3"/>
    <w:rsid w:val="00E16F3F"/>
    <w:rsid w:val="00F348F1"/>
    <w:rsid w:val="00FB49DF"/>
    <w:rsid w:val="00FD1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2B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65D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42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39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6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7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nnq@msbs.com.vn" TargetMode="External"/><Relationship Id="rId3" Type="http://schemas.openxmlformats.org/officeDocument/2006/relationships/styles" Target="styles.xml"/><Relationship Id="rId7" Type="http://schemas.openxmlformats.org/officeDocument/2006/relationships/hyperlink" Target="mailto:tuyenhtt@msbs.com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ttn@msbs.com.v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6EEE-726D-4B00-8219-4C0143FE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Maritime Bank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11</cp:revision>
  <dcterms:created xsi:type="dcterms:W3CDTF">2014-01-06T09:03:00Z</dcterms:created>
  <dcterms:modified xsi:type="dcterms:W3CDTF">2015-03-25T07:03:00Z</dcterms:modified>
</cp:coreProperties>
</file>